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隶书" w:hAnsi="宋体" w:eastAsia="隶书"/>
          <w:bCs/>
          <w:color w:val="000000"/>
          <w:sz w:val="36"/>
          <w:szCs w:val="36"/>
        </w:rPr>
      </w:pPr>
      <w:r>
        <w:rPr>
          <w:rFonts w:hint="eastAsia" w:ascii="隶书" w:hAnsi="宋体" w:eastAsia="隶书"/>
          <w:bCs/>
          <w:color w:val="000000"/>
          <w:sz w:val="36"/>
          <w:szCs w:val="36"/>
        </w:rPr>
        <w:t>管理体系审核记录表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1228"/>
        <w:gridCol w:w="10943"/>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892" w:type="dxa"/>
            <w:vMerge w:val="restart"/>
            <w:vAlign w:val="center"/>
          </w:tcPr>
          <w:p>
            <w:pPr>
              <w:spacing w:before="120" w:line="360" w:lineRule="auto"/>
              <w:jc w:val="center"/>
              <w:rPr>
                <w:rFonts w:ascii="宋体" w:hAnsi="宋体" w:cs="宋体"/>
                <w:szCs w:val="21"/>
              </w:rPr>
            </w:pPr>
            <w:r>
              <w:rPr>
                <w:rFonts w:hint="eastAsia" w:ascii="宋体" w:hAnsi="宋体" w:cs="宋体"/>
                <w:szCs w:val="21"/>
              </w:rPr>
              <w:t>过程与活动、</w:t>
            </w:r>
          </w:p>
          <w:p>
            <w:pPr>
              <w:spacing w:line="360" w:lineRule="auto"/>
              <w:jc w:val="center"/>
              <w:rPr>
                <w:rFonts w:ascii="宋体" w:hAnsi="宋体" w:cs="宋体"/>
                <w:szCs w:val="21"/>
              </w:rPr>
            </w:pPr>
            <w:r>
              <w:rPr>
                <w:rFonts w:hint="eastAsia" w:ascii="宋体" w:hAnsi="宋体" w:cs="宋体"/>
                <w:szCs w:val="21"/>
              </w:rPr>
              <w:t>抽样计划</w:t>
            </w:r>
          </w:p>
        </w:tc>
        <w:tc>
          <w:tcPr>
            <w:tcW w:w="1228" w:type="dxa"/>
            <w:vMerge w:val="restart"/>
            <w:vAlign w:val="center"/>
          </w:tcPr>
          <w:p>
            <w:pPr>
              <w:spacing w:line="360" w:lineRule="auto"/>
              <w:rPr>
                <w:rFonts w:ascii="宋体" w:hAnsi="宋体" w:cs="宋体"/>
                <w:szCs w:val="21"/>
              </w:rPr>
            </w:pPr>
            <w:r>
              <w:rPr>
                <w:rFonts w:hint="eastAsia" w:ascii="宋体" w:hAnsi="宋体" w:cs="宋体"/>
                <w:szCs w:val="21"/>
              </w:rPr>
              <w:t>涉及</w:t>
            </w:r>
          </w:p>
          <w:p>
            <w:pPr>
              <w:spacing w:line="360" w:lineRule="auto"/>
              <w:rPr>
                <w:rFonts w:ascii="宋体" w:hAnsi="宋体" w:cs="宋体"/>
                <w:szCs w:val="21"/>
              </w:rPr>
            </w:pPr>
            <w:r>
              <w:rPr>
                <w:rFonts w:hint="eastAsia" w:ascii="宋体" w:hAnsi="宋体" w:cs="宋体"/>
                <w:szCs w:val="21"/>
              </w:rPr>
              <w:t>条款</w:t>
            </w:r>
          </w:p>
        </w:tc>
        <w:tc>
          <w:tcPr>
            <w:tcW w:w="10943" w:type="dxa"/>
            <w:vAlign w:val="center"/>
          </w:tcPr>
          <w:p>
            <w:pPr>
              <w:spacing w:line="360" w:lineRule="auto"/>
              <w:rPr>
                <w:rFonts w:hint="eastAsia" w:ascii="宋体" w:hAnsi="宋体" w:eastAsia="宋体" w:cs="宋体"/>
                <w:szCs w:val="21"/>
                <w:lang w:val="en-US" w:eastAsia="zh-CN"/>
              </w:rPr>
            </w:pPr>
            <w:r>
              <w:rPr>
                <w:rFonts w:hint="eastAsia" w:ascii="宋体" w:hAnsi="宋体" w:cs="宋体"/>
                <w:szCs w:val="21"/>
              </w:rPr>
              <w:t>受审核部门：管理层    总经理：</w:t>
            </w:r>
            <w:r>
              <w:rPr>
                <w:rFonts w:hint="eastAsia" w:ascii="宋体" w:hAnsi="宋体" w:cs="宋体"/>
                <w:szCs w:val="21"/>
                <w:lang w:eastAsia="zh-CN"/>
              </w:rPr>
              <w:t>周洪勇</w:t>
            </w:r>
            <w:r>
              <w:rPr>
                <w:rFonts w:hint="eastAsia" w:ascii="宋体" w:hAnsi="宋体" w:cs="宋体"/>
                <w:szCs w:val="21"/>
                <w:lang w:val="en-US" w:eastAsia="zh-CN"/>
              </w:rPr>
              <w:t xml:space="preserve">           </w:t>
            </w:r>
            <w:bookmarkStart w:id="0" w:name="_GoBack"/>
            <w:bookmarkEnd w:id="0"/>
            <w:r>
              <w:rPr>
                <w:rFonts w:hint="eastAsia" w:ascii="宋体" w:hAnsi="宋体" w:cs="宋体"/>
                <w:szCs w:val="21"/>
                <w:lang w:val="en-US" w:eastAsia="zh-CN"/>
              </w:rPr>
              <w:t xml:space="preserve"> </w:t>
            </w:r>
            <w:r>
              <w:rPr>
                <w:rFonts w:hint="eastAsia" w:ascii="宋体" w:hAnsi="宋体" w:cs="宋体"/>
                <w:szCs w:val="21"/>
              </w:rPr>
              <w:t xml:space="preserve"> 管理者代表：</w:t>
            </w:r>
            <w:r>
              <w:rPr>
                <w:rFonts w:hint="eastAsia" w:ascii="宋体" w:hAnsi="宋体" w:cs="宋体"/>
                <w:szCs w:val="21"/>
                <w:lang w:eastAsia="zh-CN"/>
              </w:rPr>
              <w:t>罗锦霞</w:t>
            </w:r>
            <w:r>
              <w:rPr>
                <w:rFonts w:hint="eastAsia" w:ascii="宋体" w:hAnsi="宋体"/>
                <w:bCs/>
                <w:szCs w:val="21"/>
              </w:rPr>
              <w:t xml:space="preserve"> </w:t>
            </w:r>
            <w:r>
              <w:rPr>
                <w:rFonts w:hint="eastAsia" w:ascii="宋体" w:hAnsi="宋体"/>
                <w:bCs/>
                <w:szCs w:val="21"/>
                <w:lang w:val="en-US" w:eastAsia="zh-CN"/>
              </w:rPr>
              <w:t xml:space="preserve">     </w:t>
            </w:r>
          </w:p>
        </w:tc>
        <w:tc>
          <w:tcPr>
            <w:tcW w:w="646" w:type="dxa"/>
            <w:vMerge w:val="restart"/>
            <w:vAlign w:val="center"/>
          </w:tcPr>
          <w:p>
            <w:pPr>
              <w:spacing w:line="360" w:lineRule="auto"/>
              <w:rPr>
                <w:rFonts w:ascii="宋体" w:hAnsi="宋体" w:cs="宋体"/>
                <w:szCs w:val="21"/>
              </w:rPr>
            </w:pPr>
            <w:r>
              <w:rPr>
                <w:rFonts w:hint="eastAsia" w:ascii="宋体" w:hAnsi="宋体" w:cs="宋体"/>
                <w:szCs w:val="21"/>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92" w:type="dxa"/>
            <w:vMerge w:val="continue"/>
            <w:vAlign w:val="center"/>
          </w:tcPr>
          <w:p>
            <w:pPr>
              <w:spacing w:line="360" w:lineRule="auto"/>
              <w:rPr>
                <w:rFonts w:ascii="宋体" w:hAnsi="宋体" w:cs="宋体"/>
                <w:szCs w:val="21"/>
              </w:rPr>
            </w:pPr>
          </w:p>
        </w:tc>
        <w:tc>
          <w:tcPr>
            <w:tcW w:w="1228" w:type="dxa"/>
            <w:vMerge w:val="continue"/>
            <w:vAlign w:val="center"/>
          </w:tcPr>
          <w:p>
            <w:pPr>
              <w:spacing w:line="360" w:lineRule="auto"/>
              <w:rPr>
                <w:rFonts w:ascii="宋体" w:hAnsi="宋体" w:cs="宋体"/>
                <w:szCs w:val="21"/>
              </w:rPr>
            </w:pPr>
          </w:p>
        </w:tc>
        <w:tc>
          <w:tcPr>
            <w:tcW w:w="10943" w:type="dxa"/>
            <w:vAlign w:val="center"/>
          </w:tcPr>
          <w:p>
            <w:pPr>
              <w:spacing w:line="360" w:lineRule="auto"/>
              <w:rPr>
                <w:rFonts w:ascii="宋体" w:hAnsi="宋体" w:cs="宋体"/>
                <w:szCs w:val="21"/>
              </w:rPr>
            </w:pPr>
            <w:r>
              <w:rPr>
                <w:rFonts w:hint="eastAsia" w:ascii="宋体" w:hAnsi="宋体" w:cs="宋体"/>
                <w:szCs w:val="21"/>
              </w:rPr>
              <w:t>审核员：</w:t>
            </w:r>
            <w:r>
              <w:rPr>
                <w:rFonts w:hint="eastAsia" w:ascii="宋体" w:hAnsi="宋体" w:cs="宋体"/>
                <w:szCs w:val="21"/>
                <w:lang w:eastAsia="zh-CN"/>
              </w:rPr>
              <w:t>宋明珠</w:t>
            </w:r>
            <w:r>
              <w:rPr>
                <w:rFonts w:hint="eastAsia" w:ascii="宋体" w:hAnsi="宋体" w:cs="宋体"/>
                <w:szCs w:val="21"/>
                <w:lang w:val="en-US" w:eastAsia="zh-CN"/>
              </w:rPr>
              <w:t>、郭力</w:t>
            </w:r>
            <w:r>
              <w:rPr>
                <w:rFonts w:hint="eastAsia" w:ascii="宋体" w:hAnsi="宋体" w:cs="宋体"/>
                <w:szCs w:val="21"/>
              </w:rPr>
              <w:t xml:space="preserve">           审核时间：20</w:t>
            </w:r>
            <w:r>
              <w:rPr>
                <w:rFonts w:hint="eastAsia" w:ascii="宋体" w:hAnsi="宋体" w:cs="宋体"/>
                <w:szCs w:val="21"/>
                <w:lang w:val="en-US" w:eastAsia="zh-CN"/>
              </w:rPr>
              <w:t>20</w:t>
            </w:r>
            <w:r>
              <w:rPr>
                <w:rFonts w:hint="eastAsia" w:ascii="宋体" w:hAnsi="宋体" w:cs="宋体"/>
                <w:szCs w:val="21"/>
              </w:rPr>
              <w:t>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11</w:t>
            </w:r>
            <w:r>
              <w:rPr>
                <w:rFonts w:hint="eastAsia" w:ascii="宋体" w:hAnsi="宋体" w:cs="宋体"/>
                <w:szCs w:val="21"/>
              </w:rPr>
              <w:t>日</w:t>
            </w:r>
          </w:p>
        </w:tc>
        <w:tc>
          <w:tcPr>
            <w:tcW w:w="646" w:type="dxa"/>
            <w:vMerge w:val="continue"/>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Merge w:val="continue"/>
            <w:vAlign w:val="center"/>
          </w:tcPr>
          <w:p>
            <w:pPr>
              <w:spacing w:line="360" w:lineRule="auto"/>
              <w:rPr>
                <w:rFonts w:ascii="宋体" w:hAnsi="宋体" w:cs="宋体"/>
                <w:szCs w:val="21"/>
              </w:rPr>
            </w:pPr>
          </w:p>
        </w:tc>
        <w:tc>
          <w:tcPr>
            <w:tcW w:w="1228" w:type="dxa"/>
            <w:vMerge w:val="continue"/>
            <w:vAlign w:val="center"/>
          </w:tcPr>
          <w:p>
            <w:pPr>
              <w:spacing w:line="360" w:lineRule="auto"/>
              <w:rPr>
                <w:rFonts w:ascii="宋体" w:hAnsi="宋体" w:cs="宋体"/>
                <w:szCs w:val="21"/>
              </w:rPr>
            </w:pPr>
          </w:p>
        </w:tc>
        <w:tc>
          <w:tcPr>
            <w:tcW w:w="10943" w:type="dxa"/>
            <w:vAlign w:val="center"/>
          </w:tcPr>
          <w:p>
            <w:pPr>
              <w:snapToGrid w:val="0"/>
              <w:spacing w:line="360" w:lineRule="auto"/>
              <w:rPr>
                <w:rFonts w:ascii="宋体" w:hAnsi="宋体" w:cs="宋体"/>
                <w:szCs w:val="21"/>
              </w:rPr>
            </w:pPr>
            <w:r>
              <w:rPr>
                <w:rFonts w:hint="eastAsia" w:ascii="宋体" w:hAnsi="宋体" w:cs="宋体"/>
                <w:szCs w:val="21"/>
              </w:rPr>
              <w:t>审核条款：</w:t>
            </w:r>
          </w:p>
          <w:p>
            <w:pPr>
              <w:snapToGrid w:val="0"/>
              <w:spacing w:line="360" w:lineRule="auto"/>
              <w:rPr>
                <w:rFonts w:ascii="宋体" w:hAnsi="宋体" w:cs="新宋体"/>
                <w:sz w:val="18"/>
                <w:szCs w:val="18"/>
              </w:rPr>
            </w:pPr>
            <w:r>
              <w:rPr>
                <w:rFonts w:hint="eastAsia" w:ascii="宋体" w:hAnsi="宋体" w:cs="新宋体"/>
                <w:sz w:val="18"/>
                <w:szCs w:val="18"/>
              </w:rPr>
              <w:t>Q：5.1；5.2；5.3；6.1；6.2；6.3；7.1.1；7.4；</w:t>
            </w:r>
          </w:p>
          <w:p>
            <w:pPr>
              <w:snapToGrid w:val="0"/>
              <w:spacing w:line="360" w:lineRule="auto"/>
              <w:rPr>
                <w:rFonts w:ascii="宋体" w:hAnsi="宋体" w:cs="宋体"/>
                <w:szCs w:val="21"/>
              </w:rPr>
            </w:pPr>
            <w:r>
              <w:rPr>
                <w:rFonts w:hint="eastAsia" w:ascii="宋体" w:hAnsi="宋体" w:cs="新宋体"/>
                <w:sz w:val="18"/>
                <w:szCs w:val="18"/>
              </w:rPr>
              <w:t>E：5.1；5.2；5.3；6.1.1；；6.1.4；6.2；7.1；7.4；</w:t>
            </w:r>
          </w:p>
        </w:tc>
        <w:tc>
          <w:tcPr>
            <w:tcW w:w="646" w:type="dxa"/>
            <w:vMerge w:val="continue"/>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领导作用与承诺</w:t>
            </w:r>
          </w:p>
          <w:p>
            <w:pPr>
              <w:spacing w:line="360" w:lineRule="auto"/>
              <w:rPr>
                <w:rFonts w:asciiTheme="minorEastAsia" w:hAnsiTheme="minorEastAsia" w:eastAsiaTheme="minorEastAsia"/>
                <w:szCs w:val="24"/>
              </w:rPr>
            </w:pPr>
          </w:p>
        </w:tc>
        <w:tc>
          <w:tcPr>
            <w:tcW w:w="1228" w:type="dxa"/>
            <w:vAlign w:val="center"/>
          </w:tcPr>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QE：5.1</w:t>
            </w:r>
          </w:p>
        </w:tc>
        <w:tc>
          <w:tcPr>
            <w:tcW w:w="10943" w:type="dxa"/>
            <w:vAlign w:val="center"/>
          </w:tcPr>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通过管理评审、内部审核及有效实施纠正、改进措施等方法来有效完善和持续发展公司的管理体系。公司总经理是</w:t>
            </w:r>
            <w:r>
              <w:rPr>
                <w:rFonts w:hint="eastAsia" w:ascii="宋体" w:hAnsi="宋体" w:eastAsia="宋体" w:cs="宋体"/>
                <w:szCs w:val="21"/>
                <w:lang w:eastAsia="zh-CN"/>
              </w:rPr>
              <w:t>周洪永</w:t>
            </w:r>
            <w:r>
              <w:rPr>
                <w:rFonts w:hint="eastAsia" w:ascii="宋体" w:hAnsi="宋体" w:eastAsia="宋体" w:cs="宋体"/>
                <w:szCs w:val="21"/>
              </w:rPr>
              <w:t>，主要承诺有：</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a)对公司的质量/环境/安全体系有效性负责</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b)确保质量/环境/安全方针和质量/环境/安全目标得到建立，并与公司的战略方向保持一致；</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c)确保质量/环境/安全方针在公司内得到理解和实施；</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d)确保质量/环境/安全管理体系要求纳入公司的经营运作；</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e)提高过程方法的意识和基于风险的方法；</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f)确保质量/环境/安全管理体系所需资源的获得；</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g)传达有效的质量/环境/安全管理以及满足质量/环境/安全管理体系、产品和服务要求的重要性；</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h)确保质量/环境/安全管理体系实现预期的输出；</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i)积极参与、指导和支持员工参与对质量/环境/安全管理体系的有效性做出贡献；</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j)增强持续改进和创新；</w:t>
            </w:r>
          </w:p>
          <w:p>
            <w:pPr>
              <w:spacing w:line="360" w:lineRule="auto"/>
              <w:ind w:firstLine="420" w:firstLineChars="200"/>
              <w:rPr>
                <w:rFonts w:ascii="宋体" w:hAnsi="宋体" w:cs="宋体"/>
                <w:szCs w:val="21"/>
              </w:rPr>
            </w:pPr>
            <w:r>
              <w:rPr>
                <w:rFonts w:hint="eastAsia" w:ascii="宋体" w:hAnsi="宋体" w:eastAsia="宋体" w:cs="宋体"/>
                <w:szCs w:val="21"/>
              </w:rPr>
              <w:t>k)支持其他的管理者在其负责的领域证实其领导作用。</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ascii="宋体" w:hAnsi="宋体" w:cs="宋体"/>
                <w:szCs w:val="21"/>
              </w:rPr>
            </w:pPr>
            <w:r>
              <w:rPr>
                <w:rFonts w:hint="eastAsia" w:ascii="宋体" w:hAnsi="宋体" w:cs="宋体"/>
                <w:szCs w:val="21"/>
              </w:rPr>
              <w:t>组织的岗位、职责和权限</w:t>
            </w:r>
          </w:p>
          <w:p>
            <w:pPr>
              <w:spacing w:line="360" w:lineRule="auto"/>
              <w:jc w:val="center"/>
              <w:rPr>
                <w:rFonts w:asciiTheme="minorEastAsia" w:hAnsiTheme="minorEastAsia" w:eastAsiaTheme="minorEastAsia" w:cstheme="minorEastAsia"/>
                <w:szCs w:val="21"/>
              </w:rPr>
            </w:pPr>
          </w:p>
        </w:tc>
        <w:tc>
          <w:tcPr>
            <w:tcW w:w="1228"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QE：</w:t>
            </w:r>
            <w:r>
              <w:rPr>
                <w:rFonts w:hint="eastAsia" w:ascii="宋体" w:hAnsi="宋体" w:cs="新宋体"/>
                <w:sz w:val="18"/>
                <w:szCs w:val="18"/>
              </w:rPr>
              <w:t>5.3</w:t>
            </w:r>
          </w:p>
        </w:tc>
        <w:tc>
          <w:tcPr>
            <w:tcW w:w="10943" w:type="dxa"/>
            <w:vAlign w:val="center"/>
          </w:tcPr>
          <w:p>
            <w:pPr>
              <w:spacing w:line="360" w:lineRule="auto"/>
              <w:ind w:firstLine="420" w:firstLineChars="200"/>
              <w:rPr>
                <w:rFonts w:ascii="宋体" w:hAnsi="宋体" w:cs="宋体"/>
                <w:szCs w:val="21"/>
              </w:rPr>
            </w:pPr>
            <w:r>
              <w:rPr>
                <w:rFonts w:hint="eastAsia" w:ascii="宋体" w:hAnsi="宋体" w:cs="宋体"/>
                <w:szCs w:val="21"/>
              </w:rPr>
              <w:t>公司确定了公司机构并规定了各岗位人员职责、权限和相互关系，并在公司内对各级员工进行了必要的传达。对从事与销售有关的管理、执行和验证人员规定其职责、权限及其相互关系，以实现公司管理方针和管理目标。建立、实施和保持公司管理体系所需的过程，公司决定任命</w:t>
            </w:r>
            <w:r>
              <w:rPr>
                <w:rFonts w:hint="eastAsia" w:ascii="宋体" w:hAnsi="宋体"/>
                <w:bCs/>
                <w:szCs w:val="21"/>
                <w:lang w:eastAsia="zh-CN"/>
              </w:rPr>
              <w:t>周洪永</w:t>
            </w:r>
            <w:r>
              <w:rPr>
                <w:rFonts w:hint="eastAsia" w:ascii="宋体" w:hAnsi="宋体" w:cs="宋体"/>
                <w:szCs w:val="21"/>
              </w:rPr>
              <w:t>为管理体系的管理者代表。其职责和权限规定如下：</w:t>
            </w:r>
          </w:p>
          <w:p>
            <w:pPr>
              <w:spacing w:line="360" w:lineRule="auto"/>
              <w:ind w:firstLine="420" w:firstLineChars="200"/>
              <w:rPr>
                <w:rFonts w:ascii="宋体" w:hAnsi="宋体" w:cs="宋体"/>
                <w:szCs w:val="21"/>
              </w:rPr>
            </w:pPr>
            <w:r>
              <w:rPr>
                <w:rFonts w:hint="eastAsia" w:ascii="宋体" w:hAnsi="宋体" w:cs="宋体"/>
                <w:szCs w:val="21"/>
              </w:rPr>
              <w:t>确保本公司管理体系所需的过程得到建立、实施和保持，代表</w:t>
            </w:r>
            <w:r>
              <w:rPr>
                <w:rFonts w:hint="eastAsia" w:asciiTheme="minorEastAsia" w:hAnsiTheme="minorEastAsia" w:eastAsiaTheme="minorEastAsia" w:cstheme="minorEastAsia"/>
                <w:szCs w:val="21"/>
                <w:lang w:eastAsia="zh-CN"/>
              </w:rPr>
              <w:t xml:space="preserve">李向阳 </w:t>
            </w:r>
            <w:r>
              <w:rPr>
                <w:rFonts w:hint="eastAsia" w:ascii="宋体" w:hAnsi="宋体" w:cs="宋体"/>
                <w:szCs w:val="21"/>
              </w:rPr>
              <w:t>行使职权；</w:t>
            </w:r>
          </w:p>
          <w:p>
            <w:pPr>
              <w:spacing w:line="360" w:lineRule="auto"/>
              <w:ind w:firstLine="420" w:firstLineChars="200"/>
              <w:rPr>
                <w:rFonts w:hint="eastAsia" w:ascii="宋体" w:hAnsi="宋体" w:cs="宋体"/>
                <w:szCs w:val="21"/>
              </w:rPr>
            </w:pPr>
            <w:r>
              <w:rPr>
                <w:rFonts w:hint="eastAsia" w:ascii="宋体" w:hAnsi="宋体" w:cs="宋体"/>
                <w:szCs w:val="21"/>
              </w:rPr>
              <w:t>向最高管理者报告管理体系的运行、管理业绩情况以供评审，并提出管理体系改进方面的建议；确保在整个组织内提高满足顾客、相关方要求和适用法律法规要求的意识；组织落实公司管理体系的管理评审和内部审核；及时处理影响公司管理体系正常运行的有关问题；负责公司管理体系有关事宜的对外联络等。</w:t>
            </w:r>
          </w:p>
          <w:p>
            <w:pPr>
              <w:spacing w:line="360" w:lineRule="auto"/>
              <w:ind w:firstLine="420" w:firstLineChars="200"/>
            </w:pPr>
            <w:r>
              <w:rPr>
                <w:rFonts w:hint="eastAsia" w:ascii="宋体" w:hAnsi="宋体" w:cs="宋体"/>
                <w:szCs w:val="21"/>
              </w:rPr>
              <w:t>询问管代</w:t>
            </w:r>
            <w:r>
              <w:rPr>
                <w:rFonts w:hint="eastAsia" w:ascii="宋体" w:hAnsi="宋体" w:cs="宋体"/>
                <w:szCs w:val="21"/>
                <w:lang w:eastAsia="zh-CN"/>
              </w:rPr>
              <w:t>周洪永</w:t>
            </w:r>
            <w:r>
              <w:rPr>
                <w:rFonts w:hint="eastAsia" w:ascii="宋体" w:hAnsi="宋体" w:cs="宋体"/>
                <w:szCs w:val="21"/>
              </w:rPr>
              <w:t>，职责回答正确。</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szCs w:val="24"/>
              </w:rPr>
              <w:t>应对风险和机会的措施</w:t>
            </w:r>
          </w:p>
        </w:tc>
        <w:tc>
          <w:tcPr>
            <w:tcW w:w="1228"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Q：6.1</w:t>
            </w:r>
          </w:p>
          <w:p>
            <w:pPr>
              <w:pStyle w:val="4"/>
              <w:rPr>
                <w:rFonts w:hint="eastAsia" w:eastAsia="宋体"/>
                <w:lang w:val="en-US" w:eastAsia="zh-CN"/>
              </w:rPr>
            </w:pPr>
          </w:p>
          <w:p>
            <w:pPr>
              <w:spacing w:line="360" w:lineRule="auto"/>
              <w:jc w:val="left"/>
              <w:rPr>
                <w:rFonts w:asciiTheme="minorEastAsia" w:hAnsiTheme="minorEastAsia"/>
                <w:szCs w:val="24"/>
              </w:rPr>
            </w:pPr>
            <w:r>
              <w:rPr>
                <w:rFonts w:hint="eastAsia" w:asciiTheme="minorEastAsia" w:hAnsiTheme="minorEastAsia" w:eastAsiaTheme="minorEastAsia"/>
                <w:szCs w:val="24"/>
              </w:rPr>
              <w:t>E： 6.1.1</w:t>
            </w:r>
          </w:p>
        </w:tc>
        <w:tc>
          <w:tcPr>
            <w:tcW w:w="10943" w:type="dxa"/>
            <w:vAlign w:val="center"/>
          </w:tcPr>
          <w:p>
            <w:pPr>
              <w:pStyle w:val="4"/>
              <w:rPr>
                <w:rFonts w:ascii="宋体" w:hAnsi="宋体" w:cs="宋体"/>
                <w:sz w:val="21"/>
                <w:szCs w:val="21"/>
              </w:rPr>
            </w:pPr>
            <w:r>
              <w:rPr>
                <w:rFonts w:hint="eastAsia" w:ascii="宋体" w:hAnsi="宋体" w:cs="宋体"/>
                <w:sz w:val="21"/>
                <w:szCs w:val="21"/>
              </w:rPr>
              <w:t>提供《风险和机遇的应对控制程序》，对组织内外的风险和机遇进行了策划。提供“风险和机遇评估分析表”，识别了风险和机遇来源、风险和机遇内容、管理措施、责任部门、实时时间、评价措施等：</w:t>
            </w:r>
          </w:p>
          <w:p>
            <w:pPr>
              <w:pStyle w:val="4"/>
              <w:rPr>
                <w:rFonts w:ascii="宋体" w:hAnsi="宋体" w:cs="宋体"/>
                <w:sz w:val="21"/>
                <w:szCs w:val="21"/>
              </w:rPr>
            </w:pPr>
            <w:r>
              <w:rPr>
                <w:rFonts w:hint="eastAsia" w:ascii="宋体" w:hAnsi="宋体" w:cs="宋体"/>
                <w:sz w:val="21"/>
                <w:szCs w:val="21"/>
              </w:rPr>
              <w:t>风险、机遇：从客户开发、合同评审、产品交付、领导作用、信息交流、采购管理、仓库管理等方面进行分析评估。从严重程度、发生概率、可探测性、RPN等确定风险和机遇。</w:t>
            </w:r>
          </w:p>
          <w:p>
            <w:pPr>
              <w:pStyle w:val="4"/>
              <w:rPr>
                <w:rFonts w:ascii="宋体" w:hAnsi="宋体" w:cs="宋体"/>
                <w:sz w:val="21"/>
                <w:szCs w:val="21"/>
              </w:rPr>
            </w:pPr>
            <w:r>
              <w:rPr>
                <w:rFonts w:hint="eastAsia" w:ascii="宋体" w:hAnsi="宋体" w:cs="宋体"/>
                <w:sz w:val="21"/>
                <w:szCs w:val="21"/>
              </w:rPr>
              <w:t>应对措施：与风险、机遇相适应。</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目标和措施计划（管理方案）</w:t>
            </w:r>
          </w:p>
        </w:tc>
        <w:tc>
          <w:tcPr>
            <w:tcW w:w="1228" w:type="dxa"/>
            <w:vAlign w:val="center"/>
          </w:tcPr>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QE：6.2</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E：6.1.4</w:t>
            </w:r>
          </w:p>
        </w:tc>
        <w:tc>
          <w:tcPr>
            <w:tcW w:w="10943"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查《</w:t>
            </w:r>
            <w:r>
              <w:rPr>
                <w:rFonts w:hint="eastAsia"/>
              </w:rPr>
              <w:t>质量/环境/职业健康安全/管理手册</w:t>
            </w:r>
            <w:r>
              <w:rPr>
                <w:rFonts w:hint="eastAsia" w:asciiTheme="minorEastAsia" w:hAnsiTheme="minorEastAsia" w:eastAsiaTheme="minorEastAsia"/>
                <w:szCs w:val="24"/>
              </w:rPr>
              <w:t>》，策划并制定了质量、环境、职业健康安全目标，并在相关职能、层次和过程上建立目标考虑了适用的要求，并与产品和服务的符合性以及增强顾客满意有关，均可测量，并与方针基本一致。目标以公告、会议形式传达、培训和内部沟通等形式进行了沟通。</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查</w:t>
            </w:r>
            <w:r>
              <w:rPr>
                <w:rFonts w:hint="eastAsia"/>
              </w:rPr>
              <w:t>《质量/环境/职业健康安全/管理手册》</w:t>
            </w:r>
            <w:r>
              <w:rPr>
                <w:rFonts w:hint="eastAsia" w:asciiTheme="minorEastAsia" w:hAnsiTheme="minorEastAsia" w:eastAsiaTheme="minorEastAsia"/>
                <w:szCs w:val="24"/>
              </w:rPr>
              <w:t>，制定了公司目标，并在管理体系所需的相关职能、</w:t>
            </w:r>
          </w:p>
          <w:p>
            <w:pPr>
              <w:spacing w:line="360" w:lineRule="auto"/>
              <w:jc w:val="left"/>
              <w:rPr>
                <w:rFonts w:hint="eastAsia" w:ascii="宋体" w:hAnsi="宋体"/>
                <w:szCs w:val="21"/>
                <w:lang w:val="en-US" w:eastAsia="zh-CN"/>
              </w:rPr>
            </w:pPr>
            <w:r>
              <w:rPr>
                <w:rFonts w:hint="eastAsia" w:ascii="宋体" w:hAnsi="宋体"/>
                <w:szCs w:val="21"/>
                <w:lang w:val="en-US" w:eastAsia="zh-CN"/>
              </w:rPr>
              <w:t>公司的质量、环境和职业健康安全的方针：</w:t>
            </w:r>
          </w:p>
          <w:p>
            <w:pPr>
              <w:spacing w:line="360" w:lineRule="auto"/>
              <w:jc w:val="left"/>
              <w:rPr>
                <w:rFonts w:hint="eastAsia" w:ascii="宋体" w:hAnsi="宋体"/>
                <w:szCs w:val="21"/>
                <w:lang w:val="en-US" w:eastAsia="zh-CN"/>
              </w:rPr>
            </w:pPr>
            <w:r>
              <w:rPr>
                <w:rFonts w:hint="eastAsia" w:ascii="宋体" w:hAnsi="宋体"/>
                <w:szCs w:val="21"/>
                <w:lang w:val="en-US" w:eastAsia="zh-CN"/>
              </w:rPr>
              <w:t>质量方针：</w:t>
            </w:r>
            <w:r>
              <w:rPr>
                <w:rFonts w:hint="eastAsia"/>
                <w:lang w:eastAsia="zh-CN"/>
              </w:rPr>
              <w:t>质量第一、降本增效、精益求精、持续改善、遵纪守法</w:t>
            </w:r>
            <w:r>
              <w:rPr>
                <w:rFonts w:hint="eastAsia" w:ascii="宋体" w:hAnsi="宋体"/>
                <w:szCs w:val="21"/>
                <w:lang w:val="en-US" w:eastAsia="zh-CN"/>
              </w:rPr>
              <w:t>。</w:t>
            </w:r>
          </w:p>
          <w:p>
            <w:pPr>
              <w:spacing w:line="360" w:lineRule="auto"/>
              <w:jc w:val="left"/>
              <w:rPr>
                <w:rFonts w:hint="eastAsia" w:ascii="宋体" w:hAnsi="宋体"/>
                <w:szCs w:val="21"/>
                <w:lang w:val="en-US" w:eastAsia="zh-CN"/>
              </w:rPr>
            </w:pPr>
            <w:r>
              <w:rPr>
                <w:rFonts w:hint="eastAsia" w:ascii="宋体" w:hAnsi="宋体"/>
                <w:szCs w:val="21"/>
                <w:lang w:val="en-US" w:eastAsia="zh-CN"/>
              </w:rPr>
              <w:t>环境方针：</w:t>
            </w:r>
            <w:r>
              <w:rPr>
                <w:rFonts w:hint="eastAsia"/>
                <w:lang w:eastAsia="zh-CN"/>
              </w:rPr>
              <w:t>爱护环境、节能减耗、持续改善</w:t>
            </w:r>
            <w:r>
              <w:rPr>
                <w:rFonts w:hint="eastAsia" w:ascii="宋体" w:hAnsi="宋体"/>
                <w:szCs w:val="21"/>
                <w:lang w:val="en-US" w:eastAsia="zh-CN"/>
              </w:rPr>
              <w:t>。</w:t>
            </w:r>
          </w:p>
          <w:p>
            <w:pPr>
              <w:spacing w:line="360" w:lineRule="auto"/>
              <w:jc w:val="left"/>
              <w:rPr>
                <w:rFonts w:hint="eastAsia" w:ascii="宋体" w:hAnsi="宋体"/>
                <w:szCs w:val="21"/>
                <w:lang w:val="en-US" w:eastAsia="zh-CN"/>
              </w:rPr>
            </w:pPr>
            <w:r>
              <w:rPr>
                <w:rFonts w:hint="eastAsia" w:ascii="宋体" w:hAnsi="宋体"/>
                <w:szCs w:val="21"/>
                <w:lang w:val="en-US" w:eastAsia="zh-CN"/>
              </w:rPr>
              <w:t>质量目标</w:t>
            </w:r>
          </w:p>
          <w:p>
            <w:pPr>
              <w:spacing w:line="360" w:lineRule="auto"/>
              <w:rPr>
                <w:rFonts w:hint="eastAsia" w:eastAsiaTheme="minorEastAsia"/>
                <w:color w:val="000000"/>
                <w:szCs w:val="21"/>
              </w:rPr>
            </w:pPr>
            <w:r>
              <w:rPr>
                <w:rFonts w:hint="eastAsia" w:eastAsiaTheme="minorEastAsia"/>
                <w:color w:val="000000"/>
                <w:szCs w:val="21"/>
              </w:rPr>
              <w:t>1）、产品一次</w:t>
            </w:r>
            <w:r>
              <w:rPr>
                <w:rFonts w:hint="eastAsia" w:eastAsiaTheme="minorEastAsia"/>
                <w:color w:val="000000"/>
                <w:szCs w:val="21"/>
                <w:lang w:val="en-US" w:eastAsia="zh-CN"/>
              </w:rPr>
              <w:t>检验</w:t>
            </w:r>
            <w:r>
              <w:rPr>
                <w:rFonts w:hint="eastAsia" w:eastAsiaTheme="minorEastAsia"/>
                <w:color w:val="000000"/>
                <w:szCs w:val="21"/>
              </w:rPr>
              <w:t>合格率达到9</w:t>
            </w:r>
            <w:r>
              <w:rPr>
                <w:rFonts w:hint="eastAsia" w:eastAsiaTheme="minorEastAsia"/>
                <w:color w:val="000000"/>
                <w:szCs w:val="21"/>
                <w:lang w:val="en-US" w:eastAsia="zh-CN"/>
              </w:rPr>
              <w:t>8</w:t>
            </w:r>
            <w:r>
              <w:rPr>
                <w:rFonts w:hint="eastAsia" w:eastAsiaTheme="minorEastAsia"/>
                <w:color w:val="000000"/>
                <w:szCs w:val="21"/>
              </w:rPr>
              <w:t>%</w:t>
            </w:r>
            <w:r>
              <w:rPr>
                <w:rFonts w:hint="eastAsia" w:eastAsiaTheme="minorEastAsia"/>
                <w:color w:val="000000"/>
                <w:szCs w:val="21"/>
                <w:lang w:val="en-US" w:eastAsia="zh-CN"/>
              </w:rPr>
              <w:t>以上</w:t>
            </w:r>
            <w:r>
              <w:rPr>
                <w:rFonts w:hint="eastAsia" w:eastAsiaTheme="minorEastAsia"/>
                <w:color w:val="000000"/>
                <w:szCs w:val="21"/>
              </w:rPr>
              <w:t>；</w:t>
            </w:r>
          </w:p>
          <w:p>
            <w:pPr>
              <w:spacing w:line="360" w:lineRule="auto"/>
              <w:rPr>
                <w:rFonts w:hint="eastAsia" w:eastAsiaTheme="minorEastAsia"/>
                <w:color w:val="000000"/>
                <w:szCs w:val="21"/>
              </w:rPr>
            </w:pPr>
            <w:r>
              <w:rPr>
                <w:rFonts w:hint="eastAsia" w:eastAsiaTheme="minorEastAsia"/>
                <w:color w:val="000000"/>
                <w:szCs w:val="21"/>
              </w:rPr>
              <w:t>2）、合同履约率100％；</w:t>
            </w:r>
          </w:p>
          <w:p>
            <w:pPr>
              <w:spacing w:line="360" w:lineRule="auto"/>
              <w:rPr>
                <w:rFonts w:hint="eastAsia" w:eastAsiaTheme="minorEastAsia"/>
                <w:color w:val="000000"/>
                <w:szCs w:val="21"/>
              </w:rPr>
            </w:pPr>
            <w:r>
              <w:rPr>
                <w:rFonts w:hint="eastAsia" w:eastAsiaTheme="minorEastAsia"/>
                <w:color w:val="000000"/>
                <w:szCs w:val="21"/>
              </w:rPr>
              <w:t>3）、顾客满意率达到≥90%以上。</w:t>
            </w:r>
          </w:p>
          <w:p>
            <w:pPr>
              <w:spacing w:line="360" w:lineRule="auto"/>
              <w:rPr>
                <w:rFonts w:hint="eastAsia" w:ascii="宋体" w:hAnsi="宋体"/>
                <w:szCs w:val="21"/>
                <w:lang w:val="en-US" w:eastAsia="zh-CN"/>
              </w:rPr>
            </w:pPr>
            <w:r>
              <w:rPr>
                <w:rFonts w:hint="eastAsia" w:eastAsiaTheme="minorEastAsia"/>
                <w:color w:val="000000"/>
                <w:szCs w:val="21"/>
              </w:rPr>
              <w:t>4）、重大质量事故为</w:t>
            </w:r>
            <w:r>
              <w:rPr>
                <w:rFonts w:hint="eastAsia" w:eastAsiaTheme="minorEastAsia"/>
                <w:color w:val="000000"/>
                <w:szCs w:val="21"/>
                <w:lang w:val="en-US" w:eastAsia="zh-CN"/>
              </w:rPr>
              <w:t>0</w:t>
            </w:r>
            <w:r>
              <w:rPr>
                <w:rFonts w:hint="eastAsia" w:eastAsiaTheme="minorEastAsia"/>
                <w:color w:val="000000"/>
                <w:szCs w:val="21"/>
              </w:rPr>
              <w:t>。</w:t>
            </w:r>
          </w:p>
          <w:p>
            <w:pPr>
              <w:spacing w:line="360" w:lineRule="auto"/>
              <w:jc w:val="left"/>
              <w:rPr>
                <w:rFonts w:hint="eastAsia" w:ascii="宋体" w:hAnsi="宋体"/>
                <w:szCs w:val="21"/>
                <w:lang w:val="en-US" w:eastAsia="zh-CN"/>
              </w:rPr>
            </w:pPr>
            <w:r>
              <w:rPr>
                <w:rFonts w:hint="eastAsia" w:ascii="宋体" w:hAnsi="宋体"/>
                <w:szCs w:val="21"/>
                <w:lang w:val="en-US" w:eastAsia="zh-CN"/>
              </w:rPr>
              <w:t>环境管理目标</w:t>
            </w:r>
          </w:p>
          <w:p>
            <w:pPr>
              <w:spacing w:line="360" w:lineRule="auto"/>
              <w:rPr>
                <w:rFonts w:hint="eastAsia" w:eastAsiaTheme="minorEastAsia"/>
                <w:color w:val="000000"/>
                <w:szCs w:val="21"/>
              </w:rPr>
            </w:pPr>
            <w:r>
              <w:rPr>
                <w:rFonts w:hint="eastAsia" w:eastAsiaTheme="minorEastAsia"/>
                <w:color w:val="000000"/>
                <w:szCs w:val="21"/>
              </w:rPr>
              <w:t>1）、控制</w:t>
            </w:r>
            <w:r>
              <w:rPr>
                <w:rFonts w:hint="eastAsia" w:eastAsiaTheme="minorEastAsia"/>
                <w:color w:val="000000"/>
                <w:szCs w:val="21"/>
                <w:lang w:val="en-US" w:eastAsia="zh-CN"/>
              </w:rPr>
              <w:t>生产</w:t>
            </w:r>
            <w:r>
              <w:rPr>
                <w:rFonts w:hint="eastAsia" w:eastAsiaTheme="minorEastAsia"/>
                <w:color w:val="000000"/>
                <w:szCs w:val="21"/>
              </w:rPr>
              <w:t>噪声、</w:t>
            </w:r>
            <w:r>
              <w:rPr>
                <w:rFonts w:hint="eastAsia" w:eastAsiaTheme="minorEastAsia"/>
                <w:color w:val="000000"/>
                <w:szCs w:val="21"/>
                <w:lang w:val="en-US" w:eastAsia="zh-CN"/>
              </w:rPr>
              <w:t>废气</w:t>
            </w:r>
            <w:r>
              <w:rPr>
                <w:rFonts w:hint="eastAsia" w:eastAsiaTheme="minorEastAsia"/>
                <w:color w:val="000000"/>
                <w:szCs w:val="21"/>
              </w:rPr>
              <w:t>、</w:t>
            </w:r>
            <w:r>
              <w:rPr>
                <w:rFonts w:hint="eastAsia" w:eastAsiaTheme="minorEastAsia"/>
                <w:color w:val="000000"/>
                <w:szCs w:val="21"/>
                <w:lang w:val="en-US" w:eastAsia="zh-CN"/>
              </w:rPr>
              <w:t>固废、</w:t>
            </w:r>
            <w:r>
              <w:rPr>
                <w:rFonts w:hint="eastAsia" w:eastAsiaTheme="minorEastAsia"/>
                <w:color w:val="000000"/>
                <w:szCs w:val="21"/>
              </w:rPr>
              <w:t xml:space="preserve">污水排放无投诉； </w:t>
            </w:r>
          </w:p>
          <w:p>
            <w:pPr>
              <w:spacing w:line="360" w:lineRule="auto"/>
              <w:rPr>
                <w:rFonts w:hint="eastAsia" w:eastAsiaTheme="minorEastAsia"/>
                <w:color w:val="000000"/>
                <w:szCs w:val="21"/>
              </w:rPr>
            </w:pPr>
            <w:r>
              <w:rPr>
                <w:rFonts w:hint="eastAsia" w:eastAsiaTheme="minorEastAsia"/>
                <w:color w:val="000000"/>
                <w:szCs w:val="21"/>
              </w:rPr>
              <w:t>2）、固体废弃物（含危废）有效处置率≥95%；</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组织对公司质量、环境指标予以分解，并在相关职能层次部门建立分目标，</w:t>
            </w:r>
          </w:p>
          <w:p>
            <w:pPr>
              <w:spacing w:line="360" w:lineRule="auto"/>
              <w:rPr>
                <w:rFonts w:hint="default" w:ascii="宋体" w:hAnsi="宋体" w:cs="宋体" w:eastAsiaTheme="minorEastAsia"/>
                <w:sz w:val="21"/>
                <w:szCs w:val="21"/>
                <w:lang w:val="en-US" w:eastAsia="zh-CN"/>
              </w:rPr>
            </w:pPr>
            <w:r>
              <w:rPr>
                <w:rFonts w:hint="eastAsia" w:asciiTheme="minorEastAsia" w:hAnsiTheme="minorEastAsia" w:eastAsiaTheme="minorEastAsia"/>
                <w:szCs w:val="24"/>
              </w:rPr>
              <w:t>查见《目标指标分解及措施表》</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2020.1.5统计均完成。</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变更的策划</w:t>
            </w:r>
          </w:p>
        </w:tc>
        <w:tc>
          <w:tcPr>
            <w:tcW w:w="1228"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Q：6.3</w:t>
            </w:r>
          </w:p>
        </w:tc>
        <w:tc>
          <w:tcPr>
            <w:tcW w:w="10943" w:type="dxa"/>
            <w:vAlign w:val="center"/>
          </w:tcPr>
          <w:p>
            <w:pPr>
              <w:spacing w:line="360" w:lineRule="auto"/>
              <w:rPr>
                <w:rFonts w:hint="eastAsia" w:cs="Times New Roman" w:asciiTheme="minorEastAsia" w:hAnsiTheme="minorEastAsia" w:eastAsiaTheme="minorEastAsia"/>
                <w:szCs w:val="24"/>
              </w:rPr>
            </w:pPr>
            <w:r>
              <w:rPr>
                <w:rFonts w:hint="eastAsia" w:cs="Times New Roman" w:asciiTheme="minorEastAsia" w:hAnsiTheme="minorEastAsia" w:eastAsiaTheme="minorEastAsia"/>
                <w:szCs w:val="24"/>
              </w:rPr>
              <w:t>公司要确定变更的需求和机会，以保持和改进质量/环境/安全管理体系绩效。</w:t>
            </w:r>
          </w:p>
          <w:p>
            <w:pPr>
              <w:spacing w:line="360" w:lineRule="auto"/>
              <w:rPr>
                <w:rFonts w:hint="eastAsia" w:cs="Times New Roman" w:asciiTheme="minorEastAsia" w:hAnsiTheme="minorEastAsia" w:eastAsiaTheme="minorEastAsia"/>
                <w:szCs w:val="24"/>
              </w:rPr>
            </w:pPr>
            <w:r>
              <w:rPr>
                <w:rFonts w:hint="eastAsia" w:cs="Times New Roman" w:asciiTheme="minorEastAsia" w:hAnsiTheme="minorEastAsia" w:eastAsiaTheme="minorEastAsia"/>
                <w:szCs w:val="24"/>
              </w:rPr>
              <w:t>公司要有计划、系统地进行变更，识别风险和机遇，并评价变更的潜在后果。</w:t>
            </w:r>
          </w:p>
          <w:p>
            <w:pPr>
              <w:spacing w:line="360" w:lineRule="auto"/>
              <w:rPr>
                <w:rFonts w:ascii="宋体" w:hAnsi="宋体" w:cs="宋体"/>
                <w:szCs w:val="21"/>
              </w:rPr>
            </w:pPr>
            <w:r>
              <w:rPr>
                <w:rFonts w:hint="eastAsia" w:cs="Times New Roman" w:asciiTheme="minorEastAsia" w:hAnsiTheme="minorEastAsia" w:eastAsiaTheme="minorEastAsia"/>
                <w:szCs w:val="24"/>
              </w:rPr>
              <w:t>确保更改目的及潜在后果，质量/环境/安全管理体系的完整性，资源的可获得，责任和权限的分配。</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资源</w:t>
            </w:r>
          </w:p>
        </w:tc>
        <w:tc>
          <w:tcPr>
            <w:tcW w:w="1228"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 xml:space="preserve">Q：7.1.1  </w:t>
            </w:r>
          </w:p>
          <w:p>
            <w:pPr>
              <w:rPr>
                <w:rFonts w:asciiTheme="minorEastAsia" w:hAnsiTheme="minorEastAsia" w:eastAsiaTheme="minorEastAsia"/>
                <w:szCs w:val="24"/>
              </w:rPr>
            </w:pPr>
            <w:r>
              <w:rPr>
                <w:rFonts w:hint="eastAsia" w:asciiTheme="minorEastAsia" w:hAnsiTheme="minorEastAsia" w:eastAsiaTheme="minorEastAsia"/>
                <w:szCs w:val="24"/>
              </w:rPr>
              <w:t>E：7.1</w:t>
            </w:r>
          </w:p>
        </w:tc>
        <w:tc>
          <w:tcPr>
            <w:tcW w:w="10943" w:type="dxa"/>
            <w:vAlign w:val="center"/>
          </w:tcPr>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公司为确保管理体系的有效运行和持续改进，确保满足顾客要求，增强顾客满意，为管理体系的有效运行和持续改进提供充分的资源，包括人力资源、基础设施和工作环境；还包括为增强顾客满意所必需的资源。现有员工、办公场所、办公设备</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检测设备</w:t>
            </w:r>
            <w:r>
              <w:rPr>
                <w:rFonts w:hint="eastAsia" w:asciiTheme="minorEastAsia" w:hAnsiTheme="minorEastAsia" w:eastAsiaTheme="minorEastAsia"/>
                <w:szCs w:val="24"/>
              </w:rPr>
              <w:t>等基础设施以及必要的工作环境，配备较为充分。</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总经理</w:t>
            </w:r>
            <w:r>
              <w:rPr>
                <w:rFonts w:hint="eastAsia" w:asciiTheme="minorEastAsia" w:hAnsiTheme="minorEastAsia" w:eastAsiaTheme="minorEastAsia"/>
                <w:szCs w:val="24"/>
                <w:lang w:eastAsia="zh-CN"/>
              </w:rPr>
              <w:t>周洪勇</w:t>
            </w:r>
            <w:r>
              <w:rPr>
                <w:rFonts w:hint="eastAsia" w:asciiTheme="minorEastAsia" w:hAnsiTheme="minorEastAsia" w:eastAsiaTheme="minorEastAsia"/>
                <w:szCs w:val="24"/>
              </w:rPr>
              <w:t>主持了今年的管理评审，对方针、目标的适宜性进行了评审，协助管代进行了内审，确保所需资源得到满足。</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为确保公司环保、安全资金得得以保障，公司每年制定专门预算，及时提供有关资金，确保本公司各项资金及时到位，保证环保、安全活动得到实施，达到预防污染、安全第一的活动目的。经了解组织环保、安全主要投入到固废分类处置、劳保、体检、消防、（高温补助、取暖费</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口罩</w:t>
            </w:r>
            <w:r>
              <w:rPr>
                <w:rFonts w:hint="eastAsia" w:asciiTheme="minorEastAsia" w:hAnsiTheme="minorEastAsia" w:eastAsiaTheme="minorEastAsia"/>
                <w:szCs w:val="24"/>
              </w:rPr>
              <w:t>）福利费用</w:t>
            </w:r>
            <w:r>
              <w:rPr>
                <w:rFonts w:hint="eastAsia" w:asciiTheme="minorEastAsia" w:hAnsiTheme="minorEastAsia" w:eastAsiaTheme="minorEastAsia"/>
                <w:szCs w:val="24"/>
                <w:lang w:val="en-US" w:eastAsia="zh-CN"/>
              </w:rPr>
              <w:t>和疫情防护</w:t>
            </w:r>
            <w:r>
              <w:rPr>
                <w:rFonts w:hint="eastAsia" w:asciiTheme="minorEastAsia" w:hAnsiTheme="minorEastAsia" w:eastAsiaTheme="minorEastAsia"/>
                <w:szCs w:val="24"/>
              </w:rPr>
              <w:t>等投入方面。</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通过现场观察及与领导沟通了解到，公司为确保管理体系的有效运行和持续改进，确保满足顾客要求，增强顾客满意，确定并提供了必要的资源，目前仓库和</w:t>
            </w:r>
            <w:r>
              <w:rPr>
                <w:rFonts w:hint="eastAsia" w:asciiTheme="minorEastAsia" w:hAnsiTheme="minorEastAsia" w:eastAsiaTheme="minorEastAsia"/>
                <w:szCs w:val="24"/>
                <w:lang w:eastAsia="zh-CN"/>
              </w:rPr>
              <w:t>综合</w:t>
            </w:r>
            <w:r>
              <w:rPr>
                <w:rFonts w:hint="eastAsia" w:asciiTheme="minorEastAsia" w:hAnsiTheme="minorEastAsia" w:eastAsiaTheme="minorEastAsia"/>
                <w:szCs w:val="24"/>
              </w:rPr>
              <w:t>等资源配备基本能满足要求，机构设置合理。经过管理体系运行证明，现有资源可满足体系和产品的要求。</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公司目前的基础设施，能够满足当前</w:t>
            </w:r>
            <w:r>
              <w:rPr>
                <w:rFonts w:hint="eastAsia"/>
              </w:rPr>
              <w:t>质量/环境/职业健康安全/</w:t>
            </w:r>
            <w:r>
              <w:rPr>
                <w:rFonts w:hint="eastAsia" w:asciiTheme="minorEastAsia" w:hAnsiTheme="minorEastAsia" w:eastAsiaTheme="minorEastAsia"/>
                <w:szCs w:val="24"/>
              </w:rPr>
              <w:t>体系的要求。公司将依据经营发展的需要，会不断补充与增加。</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892" w:type="dxa"/>
            <w:vAlign w:val="center"/>
          </w:tcPr>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r>
              <w:rPr>
                <w:rFonts w:hint="eastAsia" w:asciiTheme="minorEastAsia" w:hAnsiTheme="minorEastAsia" w:eastAsiaTheme="minorEastAsia"/>
                <w:szCs w:val="24"/>
              </w:rPr>
              <w:t>信息交流、沟通、</w:t>
            </w:r>
          </w:p>
          <w:p>
            <w:pPr>
              <w:rPr>
                <w:rFonts w:asciiTheme="minorEastAsia" w:hAnsiTheme="minorEastAsia" w:eastAsiaTheme="minorEastAsia"/>
                <w:szCs w:val="24"/>
              </w:rPr>
            </w:pPr>
            <w:r>
              <w:rPr>
                <w:rFonts w:hint="eastAsia" w:asciiTheme="minorEastAsia" w:hAnsiTheme="minorEastAsia" w:eastAsiaTheme="minorEastAsia"/>
                <w:szCs w:val="24"/>
              </w:rPr>
              <w:t>协商与参与</w:t>
            </w:r>
          </w:p>
        </w:tc>
        <w:tc>
          <w:tcPr>
            <w:tcW w:w="1228" w:type="dxa"/>
            <w:vAlign w:val="center"/>
          </w:tcPr>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r>
              <w:rPr>
                <w:rFonts w:hint="eastAsia" w:asciiTheme="minorEastAsia" w:hAnsiTheme="minorEastAsia" w:eastAsiaTheme="minorEastAsia"/>
                <w:szCs w:val="24"/>
              </w:rPr>
              <w:t xml:space="preserve">QE：7.4  </w:t>
            </w:r>
          </w:p>
          <w:p>
            <w:pPr>
              <w:rPr>
                <w:rFonts w:asciiTheme="minorEastAsia" w:hAnsiTheme="minorEastAsia" w:eastAsiaTheme="minorEastAsia"/>
                <w:szCs w:val="24"/>
              </w:rPr>
            </w:pPr>
          </w:p>
        </w:tc>
        <w:tc>
          <w:tcPr>
            <w:tcW w:w="10943"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编制了《信息交流、沟通和协商控制程序》，规定：组织在各部门之间建立了与体系有关的信息通渠沟道，借助于会议、电话、口头交流等方式使全体员工达到沟通和理解。目前各部门协调一致，工作上的借口基本理顺。</w:t>
            </w:r>
          </w:p>
          <w:p>
            <w:pPr>
              <w:tabs>
                <w:tab w:val="left" w:pos="9720"/>
                <w:tab w:val="left" w:pos="9900"/>
              </w:tabs>
              <w:spacing w:before="62" w:beforeLines="20" w:after="62" w:afterLines="20"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总经理</w:t>
            </w:r>
            <w:r>
              <w:rPr>
                <w:rFonts w:hint="eastAsia" w:asciiTheme="minorEastAsia" w:hAnsiTheme="minorEastAsia" w:eastAsiaTheme="minorEastAsia"/>
                <w:szCs w:val="24"/>
                <w:lang w:eastAsia="zh-CN"/>
              </w:rPr>
              <w:t>周洪勇</w:t>
            </w:r>
            <w:r>
              <w:rPr>
                <w:rFonts w:hint="eastAsia" w:asciiTheme="minorEastAsia" w:hAnsiTheme="minorEastAsia" w:eastAsiaTheme="minorEastAsia"/>
                <w:szCs w:val="24"/>
              </w:rPr>
              <w:t xml:space="preserve">定期主持经营办公例会，分析公司的发展、市场情况和体系运行是否有效，管理目标完成情况，满足顾客要求和法规程度，改进建议等内部管理存在问题等。  </w:t>
            </w:r>
          </w:p>
          <w:p>
            <w:pPr>
              <w:tabs>
                <w:tab w:val="left" w:pos="9720"/>
                <w:tab w:val="left" w:pos="9900"/>
              </w:tabs>
              <w:spacing w:before="62" w:beforeLines="20" w:after="62" w:afterLines="20"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总经理</w:t>
            </w:r>
            <w:r>
              <w:rPr>
                <w:rFonts w:hint="eastAsia" w:asciiTheme="minorEastAsia" w:hAnsiTheme="minorEastAsia" w:eastAsiaTheme="minorEastAsia"/>
                <w:szCs w:val="24"/>
                <w:lang w:eastAsia="zh-CN"/>
              </w:rPr>
              <w:t>周洪勇</w:t>
            </w:r>
            <w:r>
              <w:rPr>
                <w:rFonts w:hint="eastAsia" w:asciiTheme="minorEastAsia" w:hAnsiTheme="minorEastAsia" w:eastAsiaTheme="minorEastAsia"/>
                <w:szCs w:val="24"/>
              </w:rPr>
              <w:t xml:space="preserve">为协商、参与提供了时间、机会、培训、资源等保障，明确了沟通、协商、参与渠道，消除了障碍和壁垒。 </w:t>
            </w:r>
          </w:p>
          <w:p>
            <w:pPr>
              <w:spacing w:line="360" w:lineRule="auto"/>
              <w:jc w:val="left"/>
              <w:rPr>
                <w:rFonts w:hint="eastAsia" w:ascii="宋体" w:hAnsi="宋体"/>
                <w:szCs w:val="21"/>
              </w:rPr>
            </w:pPr>
            <w:r>
              <w:rPr>
                <w:rFonts w:hint="eastAsia" w:asciiTheme="minorEastAsia" w:hAnsiTheme="minorEastAsia" w:eastAsiaTheme="minorEastAsia"/>
                <w:szCs w:val="24"/>
              </w:rPr>
              <w:t>管代</w:t>
            </w:r>
            <w:r>
              <w:rPr>
                <w:rFonts w:hint="eastAsia" w:asciiTheme="minorEastAsia" w:hAnsiTheme="minorEastAsia" w:eastAsiaTheme="minorEastAsia"/>
                <w:szCs w:val="24"/>
                <w:lang w:eastAsia="zh-CN"/>
              </w:rPr>
              <w:t>罗锦霞</w:t>
            </w:r>
            <w:r>
              <w:rPr>
                <w:rFonts w:hint="eastAsia" w:asciiTheme="minorEastAsia" w:hAnsiTheme="minorEastAsia" w:eastAsiaTheme="minorEastAsia"/>
                <w:szCs w:val="24"/>
              </w:rPr>
              <w:t>介绍组织是一个</w:t>
            </w:r>
            <w:r>
              <w:rPr>
                <w:rFonts w:hint="eastAsia" w:asciiTheme="minorEastAsia" w:hAnsiTheme="minorEastAsia" w:eastAsiaTheme="minorEastAsia"/>
                <w:szCs w:val="24"/>
                <w:lang w:val="en-US" w:eastAsia="zh-CN"/>
              </w:rPr>
              <w:t>以</w:t>
            </w:r>
            <w:r>
              <w:rPr>
                <w:rFonts w:hint="eastAsia" w:ascii="宋体" w:hAnsi="宋体"/>
                <w:szCs w:val="21"/>
                <w:lang w:val="de-DE"/>
              </w:rPr>
              <w:t>生产、销售仪器仪表及零部件；模具及相关产品设计与生产；机械设备设计与制造（国家法律、法规另有规定的除外）；从事计算机科技领域内的技术开发、技术咨询、技术转让、技术服务</w:t>
            </w:r>
            <w:r>
              <w:rPr>
                <w:rFonts w:hint="eastAsia" w:ascii="宋体" w:hAnsi="宋体"/>
                <w:szCs w:val="21"/>
                <w:lang w:val="en-US" w:eastAsia="zh-CN"/>
              </w:rPr>
              <w:t>的公司</w:t>
            </w:r>
            <w:r>
              <w:rPr>
                <w:rFonts w:hint="eastAsia" w:ascii="宋体" w:hAnsi="宋体"/>
                <w:szCs w:val="21"/>
              </w:rPr>
              <w:t>。</w:t>
            </w:r>
          </w:p>
          <w:p>
            <w:pPr>
              <w:tabs>
                <w:tab w:val="left" w:pos="9720"/>
                <w:tab w:val="left" w:pos="9900"/>
              </w:tabs>
              <w:spacing w:before="62" w:beforeLines="20" w:after="62" w:afterLines="20"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公司，规模不大，人员不多，组织为各部门管理人员及非管理类工作人员明确了职责和权限，各部门管理人员及非管理类工作人员参与了环境因素和危险源辨识、风险和机遇评价和控制措施的确定，在</w:t>
            </w:r>
            <w:r>
              <w:rPr>
                <w:rFonts w:asciiTheme="minorEastAsia" w:hAnsiTheme="minorEastAsia" w:eastAsiaTheme="minorEastAsia"/>
                <w:szCs w:val="24"/>
              </w:rPr>
              <w:t>确定相关方的需求和期望时进行了适当的协商</w:t>
            </w:r>
            <w:r>
              <w:rPr>
                <w:rFonts w:hint="eastAsia" w:asciiTheme="minorEastAsia" w:hAnsiTheme="minorEastAsia" w:eastAsiaTheme="minorEastAsia"/>
                <w:szCs w:val="24"/>
              </w:rPr>
              <w:t>，共同参与了质量、环境、职业健康安全方针和目标的制定和评审，共同协商</w:t>
            </w:r>
            <w:r>
              <w:rPr>
                <w:rFonts w:asciiTheme="minorEastAsia" w:hAnsiTheme="minorEastAsia" w:eastAsiaTheme="minorEastAsia"/>
                <w:szCs w:val="24"/>
              </w:rPr>
              <w:t>如何履行法律法规要求和其他要求</w:t>
            </w:r>
            <w:r>
              <w:rPr>
                <w:rFonts w:hint="eastAsia" w:asciiTheme="minorEastAsia" w:hAnsiTheme="minorEastAsia" w:eastAsiaTheme="minorEastAsia"/>
                <w:szCs w:val="24"/>
              </w:rPr>
              <w:t>，在确定管理体系的监视和测量及内部审核方案和持续改进方向时进行了事先协商，如有事件发生将组织相关人员适当参与事件调查；员工根据自身要求参与了培训计划的制定，对影响管理体系的任何变更将组织相关人员进行协商并且对职业健康安全事务发表意见。日常对于质量、环保、安全方面的信息主要利用会议、培训、座谈、电话、网络、收文等方式进行内外部沟通和协商。</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lang w:val="en-US" w:eastAsia="zh-CN"/>
              </w:rPr>
              <w:t>提供</w:t>
            </w:r>
            <w:r>
              <w:rPr>
                <w:rFonts w:hint="eastAsia" w:asciiTheme="minorEastAsia" w:hAnsiTheme="minorEastAsia" w:eastAsiaTheme="minorEastAsia"/>
                <w:szCs w:val="24"/>
              </w:rPr>
              <w:t>会议记录、培训记录、文件签收等组织内部培训方式相关记录。</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lang w:eastAsia="zh-CN"/>
              </w:rPr>
              <w:t>行政部</w:t>
            </w:r>
            <w:r>
              <w:rPr>
                <w:rFonts w:hint="eastAsia" w:asciiTheme="minorEastAsia" w:hAnsiTheme="minorEastAsia" w:eastAsiaTheme="minorEastAsia"/>
                <w:szCs w:val="24"/>
              </w:rPr>
              <w:t>是内外部信息交流的中心，通过会议、邮件、培训等形式进行内部交流，向外部接收各种文件传递各种报表，外部沟通联络的部门有环保部门、劳动部门、消防安全部门、质监部门、安监部门及合同方等。</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经交流：目前与环保、劳动、消防、安监部门的信息交流主要是参加会议、接收来文、电话、邮件等，均按要求予以传达和落实，沟通情况较好。</w:t>
            </w:r>
          </w:p>
          <w:p>
            <w:pPr>
              <w:spacing w:line="360" w:lineRule="auto"/>
              <w:rPr>
                <w:rFonts w:ascii="宋体" w:hAnsi="宋体" w:cs="宋体"/>
                <w:szCs w:val="21"/>
              </w:rPr>
            </w:pPr>
            <w:r>
              <w:rPr>
                <w:rFonts w:hint="eastAsia" w:asciiTheme="minorEastAsia" w:hAnsiTheme="minorEastAsia" w:eastAsiaTheme="minorEastAsia"/>
                <w:szCs w:val="24"/>
              </w:rPr>
              <w:t>现有的沟通渠道和方法能满足要求。审核中未发现因沟通不利不及时而造成（影响）某项工作不能正常运行的情况。</w:t>
            </w:r>
          </w:p>
        </w:tc>
        <w:tc>
          <w:tcPr>
            <w:tcW w:w="646" w:type="dxa"/>
            <w:vAlign w:val="center"/>
          </w:tcPr>
          <w:p>
            <w:pPr>
              <w:rPr>
                <w:rFonts w:ascii="宋体" w:hAnsi="宋体" w:cs="宋体"/>
                <w:szCs w:val="21"/>
              </w:rPr>
            </w:pPr>
            <w:r>
              <w:rPr>
                <w:rFonts w:hint="eastAsia" w:asciiTheme="minorEastAsia" w:hAnsiTheme="minorEastAsia" w:eastAsiaTheme="minorEastAsia"/>
                <w:szCs w:val="24"/>
              </w:rPr>
              <w:t xml:space="preserve">  </w:t>
            </w:r>
          </w:p>
        </w:tc>
      </w:tr>
    </w:tbl>
    <w:p/>
    <w:p>
      <w:pPr>
        <w:pStyle w:val="7"/>
      </w:pPr>
      <w:r>
        <w:rPr>
          <w:rFonts w:hint="eastAsia"/>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隶书">
    <w:altName w:val="微软雅黑"/>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tabs>
        <w:tab w:val="left" w:pos="8910"/>
        <w:tab w:val="left" w:pos="9142"/>
        <w:tab w:val="clear" w:pos="4153"/>
      </w:tabs>
      <w:spacing w:line="320" w:lineRule="exact"/>
      <w:ind w:left="-86" w:leftChars="-41" w:firstLine="810" w:firstLineChars="450"/>
      <w:jc w:val="left"/>
      <w:rPr>
        <w:rStyle w:val="15"/>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5"/>
        <w:rFonts w:hint="default"/>
      </w:rPr>
      <w:t>北京国标联合认证有限公司</w:t>
    </w:r>
    <w:r>
      <w:rPr>
        <w:rStyle w:val="15"/>
        <w:rFonts w:hint="default"/>
      </w:rPr>
      <w:tab/>
    </w:r>
    <w:r>
      <w:rPr>
        <w:rStyle w:val="15"/>
        <w:rFonts w:hint="default"/>
      </w:rPr>
      <w:tab/>
    </w:r>
    <w:r>
      <w:rPr>
        <w:rStyle w:val="15"/>
        <w:rFonts w:hint="default"/>
      </w:rPr>
      <w:tab/>
    </w:r>
  </w:p>
  <w:p>
    <w:pPr>
      <w:pStyle w:val="8"/>
      <w:pBdr>
        <w:bottom w:val="none" w:color="auto" w:sz="0" w:space="1"/>
      </w:pBdr>
      <w:spacing w:line="320" w:lineRule="exact"/>
      <w:jc w:val="left"/>
    </w:pPr>
    <w:r>
      <w:pict>
        <v:shape id="文本框 1" o:spid="_x0000_s4097" o:spt="202" type="#_x0000_t202" style="position:absolute;left:0pt;margin-left:554.75pt;margin-top:2.2pt;height:20.2pt;width:172pt;z-index:251661312;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-31管理体系审核记录表(03版)</w:t>
                </w:r>
              </w:p>
              <w:p/>
            </w:txbxContent>
          </v:textbox>
        </v:shape>
      </w:pict>
    </w:r>
    <w:r>
      <w:rPr>
        <w:rStyle w:val="15"/>
        <w:rFonts w:hint="default"/>
      </w:rPr>
      <w:t xml:space="preserve">        </w:t>
    </w:r>
    <w:r>
      <w:rPr>
        <w:rStyle w:val="15"/>
        <w:rFonts w:hint="default"/>
        <w:w w:val="90"/>
      </w:rPr>
      <w:t>Beijing International Standard united Certification Co.,Ltd.</w:t>
    </w:r>
    <w:r>
      <w:rPr>
        <w:rStyle w:val="15"/>
        <w:rFonts w:hint="default"/>
        <w:w w:val="90"/>
        <w:szCs w:val="21"/>
      </w:rPr>
      <w:t xml:space="preserve">  </w:t>
    </w:r>
    <w:r>
      <w:rPr>
        <w:rStyle w:val="15"/>
        <w:rFonts w:hint="default"/>
        <w:w w:val="90"/>
        <w:sz w:val="20"/>
      </w:rPr>
      <w:t xml:space="preserve"> </w:t>
    </w:r>
    <w:r>
      <w:rPr>
        <w:rStyle w:val="15"/>
        <w:rFonts w:hint="default"/>
        <w:w w:val="90"/>
      </w:rPr>
      <w:t xml:space="preserve">                   </w:t>
    </w:r>
  </w:p>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973B4"/>
    <w:rsid w:val="000237F6"/>
    <w:rsid w:val="0003373A"/>
    <w:rsid w:val="000C6DD5"/>
    <w:rsid w:val="00191322"/>
    <w:rsid w:val="00197AD2"/>
    <w:rsid w:val="001A2D7F"/>
    <w:rsid w:val="001C5D0F"/>
    <w:rsid w:val="00337922"/>
    <w:rsid w:val="00340867"/>
    <w:rsid w:val="00380837"/>
    <w:rsid w:val="003A198A"/>
    <w:rsid w:val="00410914"/>
    <w:rsid w:val="00536930"/>
    <w:rsid w:val="00545695"/>
    <w:rsid w:val="005524D9"/>
    <w:rsid w:val="00564E53"/>
    <w:rsid w:val="00644FE2"/>
    <w:rsid w:val="0067640C"/>
    <w:rsid w:val="006E678B"/>
    <w:rsid w:val="007757F3"/>
    <w:rsid w:val="007E6AEB"/>
    <w:rsid w:val="008973EE"/>
    <w:rsid w:val="00971600"/>
    <w:rsid w:val="009973B4"/>
    <w:rsid w:val="009A2DE9"/>
    <w:rsid w:val="009C28C1"/>
    <w:rsid w:val="009F7EED"/>
    <w:rsid w:val="00AF0AAB"/>
    <w:rsid w:val="00BF597E"/>
    <w:rsid w:val="00C51A36"/>
    <w:rsid w:val="00C55228"/>
    <w:rsid w:val="00CE315A"/>
    <w:rsid w:val="00D06F59"/>
    <w:rsid w:val="00D8388C"/>
    <w:rsid w:val="00EB0164"/>
    <w:rsid w:val="00ED0F62"/>
    <w:rsid w:val="00FC354E"/>
    <w:rsid w:val="01486283"/>
    <w:rsid w:val="021416D8"/>
    <w:rsid w:val="03DC0FCC"/>
    <w:rsid w:val="04343D46"/>
    <w:rsid w:val="044D4B75"/>
    <w:rsid w:val="045B56B3"/>
    <w:rsid w:val="04BA6B7A"/>
    <w:rsid w:val="05CD7495"/>
    <w:rsid w:val="06433CF5"/>
    <w:rsid w:val="071800C4"/>
    <w:rsid w:val="083C5F43"/>
    <w:rsid w:val="08537734"/>
    <w:rsid w:val="08815A9C"/>
    <w:rsid w:val="08A81132"/>
    <w:rsid w:val="09525E59"/>
    <w:rsid w:val="0A2A7030"/>
    <w:rsid w:val="0AF255BC"/>
    <w:rsid w:val="0BEC1E27"/>
    <w:rsid w:val="0D3A6D3B"/>
    <w:rsid w:val="0D9D1D5C"/>
    <w:rsid w:val="0E897CBB"/>
    <w:rsid w:val="0EC76BFE"/>
    <w:rsid w:val="0ED96BB8"/>
    <w:rsid w:val="0F162D0F"/>
    <w:rsid w:val="0F937051"/>
    <w:rsid w:val="108219C2"/>
    <w:rsid w:val="10BD58B0"/>
    <w:rsid w:val="10CC02BD"/>
    <w:rsid w:val="13EF2575"/>
    <w:rsid w:val="1493723D"/>
    <w:rsid w:val="156E2556"/>
    <w:rsid w:val="157849C1"/>
    <w:rsid w:val="15AD0276"/>
    <w:rsid w:val="17A24658"/>
    <w:rsid w:val="17E90890"/>
    <w:rsid w:val="186E7010"/>
    <w:rsid w:val="18833F23"/>
    <w:rsid w:val="19006116"/>
    <w:rsid w:val="192A3AB8"/>
    <w:rsid w:val="19921EE7"/>
    <w:rsid w:val="19E43C24"/>
    <w:rsid w:val="1A2C47DF"/>
    <w:rsid w:val="1A5805CF"/>
    <w:rsid w:val="1B846EE2"/>
    <w:rsid w:val="1BB1001F"/>
    <w:rsid w:val="1BF467A1"/>
    <w:rsid w:val="1C701804"/>
    <w:rsid w:val="1CAE3BF5"/>
    <w:rsid w:val="1CB93E63"/>
    <w:rsid w:val="1D224A40"/>
    <w:rsid w:val="1D553A9B"/>
    <w:rsid w:val="1D557804"/>
    <w:rsid w:val="1DA96624"/>
    <w:rsid w:val="1E030800"/>
    <w:rsid w:val="1E4A1DDF"/>
    <w:rsid w:val="1EA12B27"/>
    <w:rsid w:val="1EBF7DFB"/>
    <w:rsid w:val="1F517785"/>
    <w:rsid w:val="1FCB2501"/>
    <w:rsid w:val="1FD6378B"/>
    <w:rsid w:val="2098573E"/>
    <w:rsid w:val="20DA078C"/>
    <w:rsid w:val="21D85A19"/>
    <w:rsid w:val="235E3FCA"/>
    <w:rsid w:val="246D2075"/>
    <w:rsid w:val="249D1B51"/>
    <w:rsid w:val="258C1377"/>
    <w:rsid w:val="25B63D74"/>
    <w:rsid w:val="26EF525E"/>
    <w:rsid w:val="272F0E48"/>
    <w:rsid w:val="27B32443"/>
    <w:rsid w:val="27F35084"/>
    <w:rsid w:val="28191FAD"/>
    <w:rsid w:val="28D83944"/>
    <w:rsid w:val="28FE009C"/>
    <w:rsid w:val="28FE2F29"/>
    <w:rsid w:val="2AC46F78"/>
    <w:rsid w:val="2AF844C7"/>
    <w:rsid w:val="2B2319C0"/>
    <w:rsid w:val="2B6B2619"/>
    <w:rsid w:val="2C2F4FBB"/>
    <w:rsid w:val="2C3A2852"/>
    <w:rsid w:val="2D546CAF"/>
    <w:rsid w:val="2D5E512C"/>
    <w:rsid w:val="2DA74856"/>
    <w:rsid w:val="2E5E2D23"/>
    <w:rsid w:val="2F5C7822"/>
    <w:rsid w:val="2FE52113"/>
    <w:rsid w:val="308A61A3"/>
    <w:rsid w:val="31631119"/>
    <w:rsid w:val="330904BA"/>
    <w:rsid w:val="338161F0"/>
    <w:rsid w:val="34185604"/>
    <w:rsid w:val="345F4D69"/>
    <w:rsid w:val="348E7A2E"/>
    <w:rsid w:val="34B30427"/>
    <w:rsid w:val="35EB5546"/>
    <w:rsid w:val="379B573F"/>
    <w:rsid w:val="37A51D10"/>
    <w:rsid w:val="3886580A"/>
    <w:rsid w:val="38E16034"/>
    <w:rsid w:val="399F0E61"/>
    <w:rsid w:val="39B0398A"/>
    <w:rsid w:val="3A135DBE"/>
    <w:rsid w:val="3A4035D3"/>
    <w:rsid w:val="3B115DC4"/>
    <w:rsid w:val="3B227900"/>
    <w:rsid w:val="3DB575F2"/>
    <w:rsid w:val="3DCB733D"/>
    <w:rsid w:val="3FE4412B"/>
    <w:rsid w:val="40134513"/>
    <w:rsid w:val="40C4529F"/>
    <w:rsid w:val="41BF7F6C"/>
    <w:rsid w:val="424B7984"/>
    <w:rsid w:val="43613655"/>
    <w:rsid w:val="45256947"/>
    <w:rsid w:val="454511DF"/>
    <w:rsid w:val="458C0DD7"/>
    <w:rsid w:val="46C6402F"/>
    <w:rsid w:val="46FC186C"/>
    <w:rsid w:val="47CE22CD"/>
    <w:rsid w:val="48E731AA"/>
    <w:rsid w:val="49046B1C"/>
    <w:rsid w:val="4AF12E50"/>
    <w:rsid w:val="4B8F4629"/>
    <w:rsid w:val="4D034732"/>
    <w:rsid w:val="4D226AAC"/>
    <w:rsid w:val="4DA45115"/>
    <w:rsid w:val="4EA743E6"/>
    <w:rsid w:val="505E674E"/>
    <w:rsid w:val="50D81641"/>
    <w:rsid w:val="50DE4DBD"/>
    <w:rsid w:val="51C3292E"/>
    <w:rsid w:val="51F65C49"/>
    <w:rsid w:val="52A87672"/>
    <w:rsid w:val="52D72799"/>
    <w:rsid w:val="52EA70C8"/>
    <w:rsid w:val="52F26A7F"/>
    <w:rsid w:val="54CA19B0"/>
    <w:rsid w:val="554E28FE"/>
    <w:rsid w:val="566C2870"/>
    <w:rsid w:val="57B57DBB"/>
    <w:rsid w:val="58DF190E"/>
    <w:rsid w:val="58F13324"/>
    <w:rsid w:val="59441620"/>
    <w:rsid w:val="5B8E2D5D"/>
    <w:rsid w:val="5C0430D5"/>
    <w:rsid w:val="5CD91574"/>
    <w:rsid w:val="5D0E28AF"/>
    <w:rsid w:val="5E122349"/>
    <w:rsid w:val="5EA12B9A"/>
    <w:rsid w:val="5FD0322B"/>
    <w:rsid w:val="60D04314"/>
    <w:rsid w:val="61495338"/>
    <w:rsid w:val="61A11EA0"/>
    <w:rsid w:val="62CB5E8E"/>
    <w:rsid w:val="62F25759"/>
    <w:rsid w:val="62FB5ECB"/>
    <w:rsid w:val="63511FA7"/>
    <w:rsid w:val="63663611"/>
    <w:rsid w:val="63AD1AB1"/>
    <w:rsid w:val="645158D0"/>
    <w:rsid w:val="64632BE4"/>
    <w:rsid w:val="6496711E"/>
    <w:rsid w:val="64B47601"/>
    <w:rsid w:val="64B52C73"/>
    <w:rsid w:val="64C75CF6"/>
    <w:rsid w:val="64E67A77"/>
    <w:rsid w:val="65631D09"/>
    <w:rsid w:val="65F3314E"/>
    <w:rsid w:val="669172A1"/>
    <w:rsid w:val="6728581E"/>
    <w:rsid w:val="674B7AEA"/>
    <w:rsid w:val="67A07670"/>
    <w:rsid w:val="67B42CBD"/>
    <w:rsid w:val="68056E47"/>
    <w:rsid w:val="68194C3B"/>
    <w:rsid w:val="691550E6"/>
    <w:rsid w:val="69372D96"/>
    <w:rsid w:val="69C55CFF"/>
    <w:rsid w:val="6A12542A"/>
    <w:rsid w:val="6B0274C2"/>
    <w:rsid w:val="6C4C3A45"/>
    <w:rsid w:val="6E311877"/>
    <w:rsid w:val="6E336B29"/>
    <w:rsid w:val="6E481AD4"/>
    <w:rsid w:val="6EA2154F"/>
    <w:rsid w:val="6EC03E05"/>
    <w:rsid w:val="6ED45DD7"/>
    <w:rsid w:val="6ED464FA"/>
    <w:rsid w:val="6F4021E5"/>
    <w:rsid w:val="6FD51D0A"/>
    <w:rsid w:val="70E2745F"/>
    <w:rsid w:val="7111286E"/>
    <w:rsid w:val="713E1B08"/>
    <w:rsid w:val="71701991"/>
    <w:rsid w:val="71A150C1"/>
    <w:rsid w:val="71F32F8F"/>
    <w:rsid w:val="72340CB9"/>
    <w:rsid w:val="72DE46DF"/>
    <w:rsid w:val="72F76EC7"/>
    <w:rsid w:val="730846B2"/>
    <w:rsid w:val="73BE490E"/>
    <w:rsid w:val="7480693E"/>
    <w:rsid w:val="749004D4"/>
    <w:rsid w:val="74983E64"/>
    <w:rsid w:val="761A29D2"/>
    <w:rsid w:val="77107979"/>
    <w:rsid w:val="77144069"/>
    <w:rsid w:val="780B6495"/>
    <w:rsid w:val="78D670BF"/>
    <w:rsid w:val="7A8D6040"/>
    <w:rsid w:val="7BDD4178"/>
    <w:rsid w:val="7C5A28BF"/>
    <w:rsid w:val="7E42085A"/>
    <w:rsid w:val="7F542F90"/>
    <w:rsid w:val="7FC01F0E"/>
    <w:rsid w:val="7FD919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adjustRightInd w:val="0"/>
      <w:snapToGrid w:val="0"/>
      <w:spacing w:line="400" w:lineRule="atLeast"/>
      <w:ind w:right="48"/>
      <w:jc w:val="center"/>
      <w:textAlignment w:val="baseline"/>
      <w:outlineLvl w:val="1"/>
    </w:pPr>
    <w:rPr>
      <w:rFonts w:ascii="MingLiU" w:eastAsia="MingLiU"/>
      <w:kern w:val="0"/>
      <w:sz w:val="28"/>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left="480"/>
      <w:textAlignment w:val="baseline"/>
    </w:pPr>
    <w:rPr>
      <w:kern w:val="0"/>
    </w:rPr>
  </w:style>
  <w:style w:type="paragraph" w:styleId="4">
    <w:name w:val="Body Text"/>
    <w:basedOn w:val="1"/>
    <w:unhideWhenUsed/>
    <w:qFormat/>
    <w:uiPriority w:val="99"/>
    <w:pPr>
      <w:spacing w:line="420" w:lineRule="exact"/>
    </w:pPr>
    <w:rPr>
      <w:sz w:val="24"/>
    </w:rPr>
  </w:style>
  <w:style w:type="paragraph" w:styleId="5">
    <w:name w:val="Body Text Indent"/>
    <w:basedOn w:val="1"/>
    <w:qFormat/>
    <w:uiPriority w:val="0"/>
    <w:pPr>
      <w:ind w:firstLine="480" w:firstLineChars="200"/>
    </w:pPr>
    <w:rPr>
      <w:sz w:val="24"/>
    </w:rPr>
  </w:style>
  <w:style w:type="paragraph" w:styleId="6">
    <w:name w:val="Balloon Text"/>
    <w:basedOn w:val="1"/>
    <w:link w:val="14"/>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11">
    <w:name w:val="表格文字"/>
    <w:basedOn w:val="1"/>
    <w:qFormat/>
    <w:uiPriority w:val="0"/>
    <w:pPr>
      <w:spacing w:before="25" w:after="25"/>
    </w:pPr>
    <w:rPr>
      <w:bCs/>
      <w:spacing w:val="10"/>
    </w:rPr>
  </w:style>
  <w:style w:type="character" w:customStyle="1" w:styleId="12">
    <w:name w:val="页眉 Char"/>
    <w:basedOn w:val="10"/>
    <w:link w:val="8"/>
    <w:qFormat/>
    <w:uiPriority w:val="99"/>
    <w:rPr>
      <w:rFonts w:ascii="Times New Roman" w:hAnsi="Times New Roman" w:eastAsia="宋体" w:cs="Times New Roman"/>
      <w:sz w:val="18"/>
      <w:szCs w:val="18"/>
    </w:rPr>
  </w:style>
  <w:style w:type="character" w:customStyle="1" w:styleId="13">
    <w:name w:val="页脚 Char"/>
    <w:basedOn w:val="10"/>
    <w:link w:val="7"/>
    <w:qFormat/>
    <w:uiPriority w:val="99"/>
    <w:rPr>
      <w:rFonts w:ascii="Times New Roman" w:hAnsi="Times New Roman" w:eastAsia="宋体" w:cs="Times New Roman"/>
      <w:sz w:val="18"/>
      <w:szCs w:val="18"/>
    </w:rPr>
  </w:style>
  <w:style w:type="character" w:customStyle="1" w:styleId="14">
    <w:name w:val="批注框文本 Char"/>
    <w:basedOn w:val="10"/>
    <w:link w:val="6"/>
    <w:semiHidden/>
    <w:qFormat/>
    <w:uiPriority w:val="99"/>
    <w:rPr>
      <w:rFonts w:ascii="Times New Roman" w:hAnsi="Times New Roman" w:eastAsia="宋体" w:cs="Times New Roman"/>
      <w:sz w:val="18"/>
      <w:szCs w:val="18"/>
    </w:rPr>
  </w:style>
  <w:style w:type="character" w:customStyle="1" w:styleId="15">
    <w:name w:val="Char Char1"/>
    <w:qFormat/>
    <w:locked/>
    <w:uiPriority w:val="0"/>
    <w:rPr>
      <w:rFonts w:hint="eastAsia" w:ascii="宋体" w:hAnsi="Courier New" w:eastAsia="宋体"/>
      <w:kern w:val="2"/>
      <w:sz w:val="21"/>
      <w:lang w:val="en-US" w:eastAsia="zh-CN" w:bidi="ar-SA"/>
    </w:rPr>
  </w:style>
  <w:style w:type="paragraph"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1364</Words>
  <Characters>7780</Characters>
  <Lines>64</Lines>
  <Paragraphs>18</Paragraphs>
  <TotalTime>9</TotalTime>
  <ScaleCrop>false</ScaleCrop>
  <LinksUpToDate>false</LinksUpToDate>
  <CharactersWithSpaces>9126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LIL</cp:lastModifiedBy>
  <dcterms:modified xsi:type="dcterms:W3CDTF">2020-08-09T00:42:08Z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